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E95B23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E95B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stacjonarne)</w:t>
      </w:r>
    </w:p>
    <w:p w:rsidR="00B113FF" w:rsidRDefault="00B113FF" w:rsidP="00E95B23">
      <w:pPr>
        <w:spacing w:line="276" w:lineRule="auto"/>
        <w:jc w:val="both"/>
        <w:rPr>
          <w:b/>
        </w:rPr>
      </w:pPr>
    </w:p>
    <w:p w:rsidR="00E9442C" w:rsidRDefault="00E9442C" w:rsidP="00E95B23">
      <w:pPr>
        <w:spacing w:line="276" w:lineRule="auto"/>
        <w:jc w:val="both"/>
      </w:pPr>
      <w:r>
        <w:t xml:space="preserve">Na </w:t>
      </w:r>
      <w:r w:rsidR="00E95B23">
        <w:t xml:space="preserve">drugim </w:t>
      </w:r>
      <w:r>
        <w:t xml:space="preserve">stopniu studiów stacjonarnych na kierunku budownictwo prowadzone są </w:t>
      </w:r>
      <w:r w:rsidR="00A6337A">
        <w:t>cztery</w:t>
      </w:r>
      <w:r>
        <w:t xml:space="preserve"> specjalności: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A6337A" w:rsidRDefault="00A6337A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Inżynieria Procesów Budowlanych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E9442C" w:rsidRDefault="00E9442C" w:rsidP="00E95B23">
      <w:pPr>
        <w:spacing w:line="276" w:lineRule="auto"/>
        <w:jc w:val="both"/>
      </w:pPr>
      <w:r>
        <w:t xml:space="preserve">Rozdział na specjalności następuje począwszy od semestru 2, semestr 1 jest realizowany jako wspólny. Zasady naboru na specjalności są podane do wiadomości kandydatom na studia, </w:t>
      </w:r>
      <w:r w:rsidR="003130D6">
        <w:t xml:space="preserve">     </w:t>
      </w:r>
      <w:r>
        <w:t>a</w:t>
      </w:r>
      <w:r w:rsidR="00A6337A">
        <w:t> </w:t>
      </w:r>
      <w:r>
        <w:t xml:space="preserve">złożenie dokumentacji przez kandydata jest jednoznaczne z akceptacją tych zasad. </w:t>
      </w:r>
    </w:p>
    <w:p w:rsidR="00E9442C" w:rsidRPr="008F0A27" w:rsidRDefault="00E9442C" w:rsidP="00E95B23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E95B23">
      <w:pPr>
        <w:spacing w:line="276" w:lineRule="auto"/>
        <w:jc w:val="both"/>
      </w:pPr>
      <w:r w:rsidRPr="00B113FF">
        <w:t xml:space="preserve">Wydział zobowiązuje się do uruchomienia wszystkich </w:t>
      </w:r>
      <w:r w:rsidR="00A6337A">
        <w:t>czterech</w:t>
      </w:r>
      <w:r w:rsidRPr="00B113FF">
        <w:t xml:space="preserve"> specjalności</w:t>
      </w:r>
      <w:r>
        <w:t xml:space="preserve"> w wymiarze odpowiadającym co najmniej jednej grupie projektowej</w:t>
      </w:r>
      <w:r w:rsidR="00E9442C">
        <w:t>.</w:t>
      </w:r>
      <w:r w:rsidR="008D6E47">
        <w:t xml:space="preserve"> </w:t>
      </w:r>
      <w:r w:rsidRPr="00B113FF">
        <w:t xml:space="preserve">Liczba studentów na specjalności nie może być mniejsza niż </w:t>
      </w:r>
      <w:r>
        <w:t xml:space="preserve">jedna grupa projektowa </w:t>
      </w:r>
      <w:r w:rsidR="008D6E47">
        <w:t>lub stanowi</w:t>
      </w:r>
      <w:r>
        <w:t xml:space="preserve"> wielokrotność tej liczby</w:t>
      </w:r>
      <w:r w:rsidR="00C42027">
        <w:t xml:space="preserve"> przy odpowiedniej liczbie chętnych do studiowania na danej specjalności</w:t>
      </w:r>
      <w:r w:rsidR="00E9442C">
        <w:t>.</w:t>
      </w:r>
      <w:r w:rsidR="008D6E47">
        <w:t xml:space="preserve"> </w:t>
      </w:r>
      <w:r>
        <w:t>Liczba grup projektowych oraz liczba osób w grupie zależna jest od liczebności danego rocznika i jest ostatecznie u</w:t>
      </w:r>
      <w:r w:rsidR="008F0A27">
        <w:t>stalana przez Dziekana</w:t>
      </w:r>
      <w:r>
        <w:t xml:space="preserve"> w każdym roku akademickim</w:t>
      </w:r>
      <w:r w:rsidR="00E9442C">
        <w:t>.</w:t>
      </w:r>
    </w:p>
    <w:p w:rsidR="003130D6" w:rsidRPr="008F0A27" w:rsidRDefault="003130D6" w:rsidP="00E95B23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E95B23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E95B23">
        <w:t xml:space="preserve">, </w:t>
      </w:r>
      <w:r w:rsidR="003130D6">
        <w:t xml:space="preserve">         </w:t>
      </w:r>
      <w:r>
        <w:t xml:space="preserve"> trzeci </w:t>
      </w:r>
      <w:r w:rsidR="00E95B23">
        <w:t xml:space="preserve">i czwarty </w:t>
      </w:r>
      <w:r>
        <w:t xml:space="preserve">wybór) składając oświadczenie we właściwym </w:t>
      </w:r>
      <w:r w:rsidR="00074F07">
        <w:t>dziekanacie (wzór oświadczenia)</w:t>
      </w:r>
      <w:r w:rsidR="003130D6">
        <w:t xml:space="preserve"> </w:t>
      </w:r>
      <w:r>
        <w:t>w</w:t>
      </w:r>
      <w:r w:rsidR="00A6337A">
        <w:t> </w:t>
      </w:r>
      <w:r w:rsidR="001E3658">
        <w:t>nieprzekraczalnym</w:t>
      </w:r>
      <w:r>
        <w:t xml:space="preserve"> terminie do 31 maja (studenci studiów stacjonarnych)</w:t>
      </w:r>
      <w:r w:rsidR="001E3658">
        <w:t xml:space="preserve">. Brak oświadczenia lub złożenie nieprawidłowego oświadczenia skutkuje przydzieleniem do specjalności, na której są wolne miejsca.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E95B23">
      <w:pPr>
        <w:spacing w:line="276" w:lineRule="auto"/>
        <w:jc w:val="both"/>
      </w:pPr>
      <w:r>
        <w:t>Kryteria naboru na specjalność:</w:t>
      </w:r>
    </w:p>
    <w:p w:rsidR="001E3658" w:rsidRDefault="007D30E2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osoby, które z powodu niskiej średniej nie zostały zakwalifikowane na specjalność pierwszego wyboru zostaną przyjęte na specjalność drugiego</w:t>
      </w:r>
      <w:r w:rsidR="00074F07">
        <w:t xml:space="preserve">, trzeciego  lub czwartego </w:t>
      </w:r>
      <w:r>
        <w:t xml:space="preserve"> wyboru,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E95B23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F94C47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 (data wywieszenia wyników kwalifikacji na tablicy informacyjnej Dziekanatu).</w:t>
      </w:r>
    </w:p>
    <w:p w:rsidR="00321BFA" w:rsidRDefault="00463D0E" w:rsidP="00321BFA">
      <w:pPr>
        <w:spacing w:line="360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E95B23">
        <w:rPr>
          <w:b/>
        </w:rPr>
        <w:t xml:space="preserve">drugiego </w:t>
      </w:r>
      <w:r w:rsidRPr="00F71A2C">
        <w:rPr>
          <w:b/>
        </w:rPr>
        <w:t>stopnia</w:t>
      </w:r>
    </w:p>
    <w:p w:rsidR="00BE343D" w:rsidRDefault="00BE343D" w:rsidP="00BE343D">
      <w:pPr>
        <w:jc w:val="center"/>
        <w:rPr>
          <w:b/>
        </w:rPr>
      </w:pPr>
      <w:r>
        <w:rPr>
          <w:b/>
        </w:rPr>
        <w:t>w trybie 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E95B23" w:rsidRDefault="00E95B23" w:rsidP="00321BFA"/>
    <w:p w:rsidR="00E95B23" w:rsidRDefault="00E95B23" w:rsidP="00E95B23">
      <w:r>
        <w:t>4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E95B23">
      <w:pPr>
        <w:spacing w:after="240" w:line="276" w:lineRule="auto"/>
      </w:pPr>
      <w:r>
        <w:t>W wyniku postępowania kwalifikacyjnego przyjęto Pana/Panią na specjalność</w:t>
      </w:r>
    </w:p>
    <w:p w:rsidR="00321BFA" w:rsidRDefault="00321BFA" w:rsidP="00E95B23">
      <w:pPr>
        <w:spacing w:line="360" w:lineRule="auto"/>
      </w:pPr>
      <w:r>
        <w:t>Budownictwo Komunikacyjne</w:t>
      </w:r>
    </w:p>
    <w:p w:rsidR="00321BFA" w:rsidRDefault="00321BFA" w:rsidP="00E95B23">
      <w:pPr>
        <w:spacing w:line="360" w:lineRule="auto"/>
      </w:pPr>
      <w:r>
        <w:t>Konstrukcje Budowlane i Inżynierskie</w:t>
      </w:r>
    </w:p>
    <w:p w:rsidR="00321BFA" w:rsidRDefault="00321BFA" w:rsidP="00E95B23">
      <w:pPr>
        <w:spacing w:line="360" w:lineRule="auto"/>
      </w:pPr>
      <w:r>
        <w:t xml:space="preserve">Realizacja i </w:t>
      </w:r>
      <w:r w:rsidR="00E95B23">
        <w:t>Utrzymanie</w:t>
      </w:r>
      <w:r>
        <w:t xml:space="preserve"> Obiektów Budowlanych</w:t>
      </w:r>
    </w:p>
    <w:p w:rsidR="00A6337A" w:rsidRDefault="00A6337A" w:rsidP="00E95B23">
      <w:pPr>
        <w:spacing w:line="360" w:lineRule="auto"/>
      </w:pPr>
      <w:r>
        <w:t>Inżynieria Procesów Budowlanych</w:t>
      </w:r>
    </w:p>
    <w:p w:rsidR="00321BFA" w:rsidRDefault="00321BFA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</w:p>
    <w:p w:rsidR="00321BFA" w:rsidRDefault="00321BFA" w:rsidP="00E95B23">
      <w:pPr>
        <w:jc w:val="both"/>
      </w:pPr>
      <w:r>
        <w:t xml:space="preserve">Od decyzji zespołu przysługuje odwołanie do Prodziekana w terminie 7 dni od daty </w:t>
      </w:r>
      <w:r w:rsidR="00BE343D">
        <w:t>ogłoszenia wyników kwalifikacji.</w:t>
      </w:r>
      <w:bookmarkStart w:id="0" w:name="_GoBack"/>
      <w:bookmarkEnd w:id="0"/>
    </w:p>
    <w:sectPr w:rsidR="00321BFA" w:rsidSect="00BE34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74F07"/>
    <w:rsid w:val="000D0167"/>
    <w:rsid w:val="001E3658"/>
    <w:rsid w:val="003130D6"/>
    <w:rsid w:val="00321BFA"/>
    <w:rsid w:val="00463D0E"/>
    <w:rsid w:val="00786B6F"/>
    <w:rsid w:val="007D30E2"/>
    <w:rsid w:val="008D6E47"/>
    <w:rsid w:val="008F0A27"/>
    <w:rsid w:val="009D5EF1"/>
    <w:rsid w:val="00A6337A"/>
    <w:rsid w:val="00AE58A9"/>
    <w:rsid w:val="00B113FF"/>
    <w:rsid w:val="00B17B4E"/>
    <w:rsid w:val="00BE32CC"/>
    <w:rsid w:val="00BE343D"/>
    <w:rsid w:val="00C42027"/>
    <w:rsid w:val="00E9442C"/>
    <w:rsid w:val="00E95B23"/>
    <w:rsid w:val="00F94C47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7</cp:revision>
  <cp:lastPrinted>2013-07-18T06:35:00Z</cp:lastPrinted>
  <dcterms:created xsi:type="dcterms:W3CDTF">2021-12-29T13:08:00Z</dcterms:created>
  <dcterms:modified xsi:type="dcterms:W3CDTF">2022-01-04T14:13:00Z</dcterms:modified>
</cp:coreProperties>
</file>